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0"/>
      </w:tblGrid>
      <w:tr>
        <w:trPr>
          <w:trHeight w:val="5200" w:hRule="atLeast"/>
        </w:trPr>
        <w:tc>
          <w:tcPr>
            <w:tcW w:type="dxa" w:w="9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2A47" w:val="clear"/>
            <w:tcMar>
              <w:top w:type="dxa" w:w="400"/>
              <w:left w:type="dxa" w:w="500"/>
              <w:bottom w:type="dxa" w:w="400"/>
              <w:right w:type="dxa" w:w="500"/>
            </w:tcMar>
            <w:vAlign w:val="center"/>
          </w:tcPr>
          <w:p>
            <w:pPr>
              <w:spacing w:after="160"/>
            </w:pPr>
            <w:r>
              <w:rPr>
                <w:rFonts w:ascii="Calibri" w:cs="Calibri" w:eastAsia="Calibri" w:hAnsi="Calibri"/>
                <w:b/>
                <w:bCs/>
                <w:color w:val="17A398"/>
                <w:spacing w:val="40"/>
                <w:sz w:val="21"/>
                <w:szCs w:val="21"/>
              </w:rPr>
              <w:t xml:space="preserve">DOCUMENT 3 OF 3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88"/>
                <w:szCs w:val="88"/>
              </w:rPr>
              <w:t xml:space="preserve">NATIONAL</w:t>
            </w:r>
          </w:p>
          <w:p>
            <w:pPr>
              <w:spacing w:after="220"/>
            </w:pPr>
            <w:r>
              <w:rPr>
                <w:rFonts w:ascii="Calibri" w:cs="Calibri" w:eastAsia="Calibri" w:hAnsi="Calibri"/>
                <w:b/>
                <w:bCs/>
                <w:color w:val="E8A33D"/>
                <w:sz w:val="88"/>
                <w:szCs w:val="88"/>
              </w:rPr>
              <w:t xml:space="preserve">HACKATHON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Partnership and Business Model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i/>
                <w:iCs/>
                <w:color w:val="AAB6C8"/>
                <w:sz w:val="23"/>
                <w:szCs w:val="23"/>
              </w:rPr>
              <w:t xml:space="preserve">How partners and sponsors make it happen, and what they gain.</w:t>
            </w:r>
          </w:p>
        </w:tc>
      </w:tr>
    </w:tbl>
    <w:p>
      <w:pPr>
        <w:spacing w:after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E2A47"/>
          <w:sz w:val="26"/>
          <w:szCs w:val="26"/>
        </w:rPr>
        <w:t xml:space="preserve">Every School. Every State. One Stage for Young Innovators.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5B6B7F"/>
          <w:sz w:val="22"/>
          <w:szCs w:val="22"/>
        </w:rPr>
        <w:t xml:space="preserve">For students of Class 9 to 12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color w:val="17A398"/>
          <w:sz w:val="26"/>
          <w:szCs w:val="26"/>
        </w:rPr>
        <w:t xml:space="preserve">nationalhackathon.com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5B6B7F"/>
          <w:spacing w:val="40"/>
          <w:sz w:val="17"/>
          <w:szCs w:val="17"/>
        </w:rPr>
        <w:t xml:space="preserve">ORGANISED BY</w:t>
      </w:r>
    </w:p>
    <w:p>
      <w:pPr>
        <w:jc w:val="center"/>
      </w:pPr>
      <w:r>
        <w:rPr>
          <w:rFonts w:ascii="Calibri" w:cs="Calibri" w:eastAsia="Calibri" w:hAnsi="Calibri"/>
          <w:b/>
          <w:bCs/>
          <w:color w:val="0E2A47"/>
          <w:sz w:val="24"/>
          <w:szCs w:val="24"/>
        </w:rPr>
        <w:t xml:space="preserve">GenX  ·  Mirapath Education Limited</w:t>
      </w:r>
    </w:p>
    <w:p>
      <w:r>
        <w:br w:type="page"/>
      </w:r>
    </w:p>
    <w:p>
      <w:pPr>
        <w:pStyle w:val="Heading1"/>
        <w:pBdr>
          <w:bottom w:val="single" w:color="D8DEE8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0E2A47"/>
          <w:sz w:val="30"/>
          <w:szCs w:val="30"/>
        </w:rPr>
        <w:t xml:space="preserve">Part 3  ·  Partnership and Business Model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7A398"/>
          <w:sz w:val="28"/>
          <w:szCs w:val="28"/>
        </w:rPr>
        <w:t xml:space="preserve">Partners fund the event. In return, they reach the state's students, schools and families.</w:t>
      </w:r>
    </w:p>
    <w:p>
      <w:pPr>
        <w:spacing w:after="140" w:line="300"/>
      </w:pPr>
      <w:r>
        <w:rPr>
          <w:rFonts w:ascii="Calibri" w:cs="Calibri" w:eastAsia="Calibri" w:hAnsi="Calibri"/>
          <w:sz w:val="22"/>
          <w:szCs w:val="22"/>
        </w:rPr>
        <w:t xml:space="preserve">National Hackathon is a self-sustaining model. Sponsors and partners support each state edition, and the event delivers what matters most to them: direct, repeated, meaningful access to Class 9 to 12 students and the schools they study in.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17A398"/>
          <w:sz w:val="25"/>
          <w:szCs w:val="25"/>
        </w:rPr>
        <w:t xml:space="preserve">What a state edition delivers to its partners</w:t>
      </w:r>
    </w:p>
    <w:p>
      <w:pPr>
        <w:spacing w:after="140" w:before="10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funnel" descr="Per-state funnel: about 50,000 students register, schools select up to 20 teams each, top 200 teams go to the finale" title="Participation fun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 w:line="300"/>
      </w:pPr>
      <w:r>
        <w:rPr>
          <w:rFonts w:ascii="Calibri" w:cs="Calibri" w:eastAsia="Calibri" w:hAnsi="Calibri"/>
          <w:i/>
          <w:iCs/>
          <w:color w:val="5B6B7F"/>
          <w:sz w:val="19"/>
          <w:szCs w:val="19"/>
        </w:rPr>
        <w:t xml:space="preserve">Per-state figures are planned targets. Partners see the same funnel every state, which makes results comparable and a multi-state partnership easy to plan.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17A398"/>
          <w:sz w:val="25"/>
          <w:szCs w:val="25"/>
        </w:rPr>
        <w:t xml:space="preserve">Who we invite to partner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200"/>
        <w:gridCol w:w="4000"/>
      </w:tblGrid>
      <w:tr>
        <w:trPr>
          <w:tblHeader/>
        </w:trP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Partner category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What they bring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What they gain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Higher education sponsors (universities and institutes)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Funding, scholarship announcements, campus experiences for finalists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Stage presence at the finale; outreach to Class 9 to 12 students and families; admissions visibility; association with young talent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Education and coaching sponsors (NEET, JEE and other exam-preparation academies; school-sector brands)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Funding, scholarship tests, masterclasses for participants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Brand visibility across the portal and the finale; engagement with an aspirational student community; consented lead access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Academia partners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Mentors, judges and expert guidance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Association with a state-wide innovation platform; early visibility to promising students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Media partners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Coverage and publicity before, during and after the event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Exclusive stories, content and event access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Social media partners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Digital amplification and reach to students and parents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Co-branding and campaign collaboration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Organisations connected with schools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Access to school networks; outreach support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Co-branding and a visible role in school innovation</w:t>
            </w:r>
          </w:p>
        </w:tc>
      </w:tr>
    </w:tbl>
    <w:p>
      <w:pPr>
        <w:spacing w:after="160"/>
      </w:pP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17A398"/>
          <w:sz w:val="25"/>
          <w:szCs w:val="25"/>
        </w:rPr>
        <w:t xml:space="preserve">Sponsorship levels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1650"/>
        <w:gridCol w:w="1650"/>
        <w:gridCol w:w="1650"/>
        <w:gridCol w:w="1650"/>
      </w:tblGrid>
      <w:tr>
        <w:trPr>
          <w:tblHeader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Benefit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Title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Associate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Category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Support</w:t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Presented-by naming in the event title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-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-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-</w:t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Logo on the portal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Prominent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Listed</w:t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Logo on certificates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Selected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-</w:t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Presence on stage at the finale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Keynote and branding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Speaking slot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Award presentation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-</w:t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Branding in school outreach communication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Mention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-</w:t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Stall or display space at the finale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Premium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Standard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Small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-</w:t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Consented participant leads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-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-</w:t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Media and social media mentions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Yes</w:t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Investment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  <w:shd w:fill="FFF200" w:val="clear"/>
              </w:rPr>
              <w:t xml:space="preserve">[Amount]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  <w:shd w:fill="FFF200" w:val="clear"/>
              </w:rPr>
              <w:t xml:space="preserve">[Amount]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  <w:shd w:fill="FFF200" w:val="clear"/>
              </w:rPr>
              <w:t xml:space="preserve">[Amount]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  <w:shd w:fill="FFF200" w:val="clear"/>
              </w:rPr>
              <w:t xml:space="preserve">[Amount or in-kind]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  <w:sz w:val="22"/>
          <w:szCs w:val="22"/>
        </w:rPr>
        <w:t xml:space="preserve">Category sponsorships let a partner own one part of the event: prizes, goodies and kits, certification, food and hospitality, or the finale venue. In-kind support is welcome alongside funding.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17A398"/>
          <w:sz w:val="25"/>
          <w:szCs w:val="25"/>
        </w:rPr>
        <w:t xml:space="preserve">Where the funds go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900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Area</w:t>
            </w:r>
          </w:p>
        </w:tc>
        <w:tc>
          <w:tcPr>
            <w:tcW w:type="dxa" w:w="6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What it covers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Publicity and school outreach</w:t>
            </w:r>
          </w:p>
        </w:tc>
        <w:tc>
          <w:tcPr>
            <w:tcW w:type="dxa" w:w="6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Reaching approximately every school in the state through communication, mailers, calls and media.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Portal and registration</w:t>
            </w:r>
          </w:p>
        </w:tc>
        <w:tc>
          <w:tcPr>
            <w:tcW w:type="dxa" w:w="6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Running nationalhackathon.com: registration, problem statements and solution submissions.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Evaluation</w:t>
            </w:r>
          </w:p>
        </w:tc>
        <w:tc>
          <w:tcPr>
            <w:tcW w:type="dxa" w:w="6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Reviewing submissions and selecting the finalists.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Venue and logistics</w:t>
            </w:r>
          </w:p>
        </w:tc>
        <w:tc>
          <w:tcPr>
            <w:tcW w:type="dxa" w:w="6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The finale venue, stage, travel coordination and event operations.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Food and hospitality</w:t>
            </w:r>
          </w:p>
        </w:tc>
        <w:tc>
          <w:tcPr>
            <w:tcW w:type="dxa" w:w="6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Meals and refreshments for finalists, teachers and guests at the finale.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Goodies and kits</w:t>
            </w:r>
          </w:p>
        </w:tc>
        <w:tc>
          <w:tcPr>
            <w:tcW w:type="dxa" w:w="6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Participant kits and goodies carrying partner branding.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Cash prizes</w:t>
            </w:r>
          </w:p>
        </w:tc>
        <w:tc>
          <w:tcPr>
            <w:tcW w:type="dxa" w:w="6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Prizes for state winners.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Certification</w:t>
            </w:r>
          </w:p>
        </w:tc>
        <w:tc>
          <w:tcPr>
            <w:tcW w:type="dxa" w:w="6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Certificates for participants, finalists and winners.</w:t>
            </w:r>
          </w:p>
        </w:tc>
      </w:tr>
    </w:tbl>
    <w:p>
      <w:pPr>
        <w:spacing w:after="140"/>
      </w:pP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17A398"/>
          <w:sz w:val="25"/>
          <w:szCs w:val="25"/>
        </w:rPr>
        <w:t xml:space="preserve">Visibility touchpoints for partners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hackathon portal, seen by every registering school and student.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School outreach communication across the state.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Certificates, goodies and participant kits.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finale stage and venue, with students, teachers, parents and guests present.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Press coverage and social media campaigns.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17A398"/>
          <w:sz w:val="25"/>
          <w:szCs w:val="25"/>
        </w:rPr>
        <w:t xml:space="preserve">A model that scales</w:t>
      </w:r>
    </w:p>
    <w:p>
      <w:pPr>
        <w:spacing w:after="140" w:line="300"/>
      </w:pPr>
      <w:r>
        <w:rPr>
          <w:rFonts w:ascii="Calibri" w:cs="Calibri" w:eastAsia="Calibri" w:hAnsi="Calibri"/>
          <w:sz w:val="22"/>
          <w:szCs w:val="22"/>
        </w:rPr>
        <w:t xml:space="preserve">Each state is run as a complete edition of its own. Partners can support a single state, a group of states, or the whole series, and the same format in every state makes planning and comparison simple.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17A398"/>
          <w:sz w:val="25"/>
          <w:szCs w:val="25"/>
        </w:rPr>
        <w:t xml:space="preserve">Responsible handling of student data</w:t>
      </w:r>
    </w:p>
    <w:p>
      <w:pPr>
        <w:spacing w:after="140" w:line="300"/>
      </w:pPr>
      <w:r>
        <w:rPr>
          <w:rFonts w:ascii="Calibri" w:cs="Calibri" w:eastAsia="Calibri" w:hAnsi="Calibri"/>
          <w:sz w:val="22"/>
          <w:szCs w:val="22"/>
        </w:rPr>
        <w:t xml:space="preserve">Participants are school students, many of them minors. Participant details are shared with partners only with the consent of the school and parents, and in line with applicable data-protection law.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17A398"/>
          <w:sz w:val="25"/>
          <w:szCs w:val="25"/>
        </w:rPr>
        <w:t xml:space="preserve">How to partner with us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00"/>
      </w:tblGrid>
      <w:tr>
        <w:trPr>
          <w:tblHeader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Step</w:t>
            </w:r>
          </w:p>
        </w:tc>
        <w:tc>
          <w:tcPr>
            <w:tcW w:type="dxa" w:w="7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E2A4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What happens</w:t>
            </w:r>
          </w:p>
        </w:tc>
      </w:tr>
      <w:t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1.  Choose</w:t>
            </w:r>
          </w:p>
        </w:tc>
        <w:tc>
          <w:tcPr>
            <w:tcW w:type="dxa" w:w="7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Pick the partner category and level that suits your goals.</w:t>
            </w:r>
          </w:p>
        </w:tc>
      </w:tr>
      <w:t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2.  Connect</w:t>
            </w:r>
          </w:p>
        </w:tc>
        <w:tc>
          <w:tcPr>
            <w:tcW w:type="dxa" w:w="7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Write to us or visit nationalhackathon.com to start a conversation.</w:t>
            </w:r>
          </w:p>
        </w:tc>
      </w:tr>
      <w:t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3.  Proposal</w:t>
            </w:r>
          </w:p>
        </w:tc>
        <w:tc>
          <w:tcPr>
            <w:tcW w:type="dxa" w:w="7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2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We share a tailored proposal for your state or states of interest.</w:t>
            </w:r>
          </w:p>
        </w:tc>
      </w:tr>
      <w:t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19"/>
                <w:szCs w:val="19"/>
              </w:rPr>
              <w:t xml:space="preserve">4.  Launch</w:t>
            </w:r>
          </w:p>
        </w:tc>
        <w:tc>
          <w:tcPr>
            <w:tcW w:type="dxa" w:w="7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Agreement, branding plan and a joint announcement.</w:t>
            </w:r>
          </w:p>
        </w:tc>
      </w:tr>
    </w:tbl>
    <w:p>
      <w:pPr>
        <w:spacing w:after="160"/>
      </w:pP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0"/>
      </w:tblGrid>
      <w:tr>
        <w:tc>
          <w:tcPr>
            <w:tcW w:type="dxa" w:w="9900"/>
            <w:tcBorders>
              <w:top w:val="single" w:color="B8860B" w:sz="8"/>
              <w:left w:val="single" w:color="B8860B" w:sz="8"/>
              <w:bottom w:val="single" w:color="B8860B" w:sz="8"/>
              <w:right w:val="single" w:color="B8860B" w:sz="8"/>
            </w:tcBorders>
            <w:shd w:fill="FBF0DE" w:val="clear"/>
            <w:tcMar>
              <w:top w:type="dxa" w:w="150"/>
              <w:left w:type="dxa" w:w="220"/>
              <w:bottom w:type="dxa" w:w="150"/>
              <w:right w:type="dxa" w:w="22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B8860B"/>
                <w:sz w:val="23"/>
                <w:szCs w:val="23"/>
              </w:rPr>
              <w:t xml:space="preserve">Contact</w:t>
            </w:r>
          </w:p>
          <w:p>
            <w:pPr>
              <w:spacing w:after="60" w:line="29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Website: nationalhackathon.com</w:t>
            </w:r>
          </w:p>
          <w:p>
            <w:pPr>
              <w:spacing w:after="60" w:line="29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Name: </w:t>
            </w:r>
            <w:r>
              <w:rPr>
                <w:rFonts w:ascii="Calibri" w:cs="Calibri" w:eastAsia="Calibri" w:hAnsi="Calibri"/>
                <w:sz w:val="21"/>
                <w:szCs w:val="21"/>
                <w:shd w:fill="FFF200" w:val="clear"/>
              </w:rPr>
              <w:t xml:space="preserve">[Contact person]</w:t>
            </w:r>
          </w:p>
          <w:p>
            <w:pPr>
              <w:spacing w:after="60" w:line="29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Email: </w:t>
            </w:r>
            <w:r>
              <w:rPr>
                <w:rFonts w:ascii="Calibri" w:cs="Calibri" w:eastAsia="Calibri" w:hAnsi="Calibri"/>
                <w:sz w:val="21"/>
                <w:szCs w:val="21"/>
                <w:shd w:fill="FFF200" w:val="clear"/>
              </w:rPr>
              <w:t xml:space="preserve">[Email address]</w:t>
            </w:r>
          </w:p>
          <w:p>
            <w:pPr>
              <w:spacing w:after="60" w:line="29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Phone: </w:t>
            </w:r>
            <w:r>
              <w:rPr>
                <w:rFonts w:ascii="Calibri" w:cs="Calibri" w:eastAsia="Calibri" w:hAnsi="Calibri"/>
                <w:sz w:val="21"/>
                <w:szCs w:val="21"/>
                <w:shd w:fill="FFF200" w:val="clear"/>
              </w:rPr>
              <w:t xml:space="preserve">[Phone number]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17A398"/>
          <w:sz w:val="25"/>
          <w:szCs w:val="25"/>
        </w:rPr>
        <w:t xml:space="preserve">About the organisers</w:t>
      </w:r>
    </w:p>
    <w:p>
      <w:pPr>
        <w:spacing w:after="140" w:line="300"/>
      </w:pPr>
      <w:r>
        <w:rPr>
          <w:rFonts w:ascii="Calibri" w:cs="Calibri" w:eastAsia="Calibri" w:hAnsi="Calibri"/>
          <w:sz w:val="22"/>
          <w:szCs w:val="22"/>
        </w:rPr>
        <w:t xml:space="preserve">National Hackathon is organised by GenX and Mirapath Education Limited.</w:t>
      </w:r>
    </w:p>
    <w:p>
      <w:pPr>
        <w:spacing w:after="140" w:line="300"/>
      </w:pPr>
      <w:r>
        <w:rPr>
          <w:rFonts w:ascii="Calibri" w:cs="Calibri" w:eastAsia="Calibri" w:hAnsi="Calibri"/>
          <w:sz w:val="22"/>
          <w:szCs w:val="22"/>
          <w:shd w:fill="FFF200" w:val="clear"/>
        </w:rPr>
        <w:t xml:space="preserve">[Add 2 to 3 lines about GenX: who you are, your experience and past events.]</w:t>
      </w:r>
    </w:p>
    <w:p>
      <w:pPr>
        <w:spacing w:after="140" w:line="300"/>
      </w:pPr>
      <w:r>
        <w:rPr>
          <w:rFonts w:ascii="Calibri" w:cs="Calibri" w:eastAsia="Calibri" w:hAnsi="Calibri"/>
          <w:sz w:val="22"/>
          <w:szCs w:val="22"/>
          <w:shd w:fill="FFF200" w:val="clear"/>
        </w:rPr>
        <w:t xml:space="preserve">[Add 2 to 3 lines about Mirapath Education Limited: who you are, your experience and past events.]</w:t>
      </w:r>
    </w:p>
    <w:sectPr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F"/>
        <w:sz w:val="16"/>
        <w:szCs w:val="16"/>
      </w:rPr>
      <w:t xml:space="preserve">National Hackathon  ·  nationalhackathon.com  ·  Page </w:t>
    </w:r>
    <w:r>
      <w:rPr>
        <w:color w:val="5B6B7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F"/>
        <w:sz w:val="16"/>
        <w:szCs w:val="16"/>
      </w:rPr>
      <w:t xml:space="preserve"> of </w:t>
    </w:r>
    <w:r>
      <w:rPr>
        <w:color w:val="5B6B7F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df23ae399dba341ce28afb200d1be8623a5e26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2026-10-05T16:40:20.903Z</dcterms:created>
  <dcterms:modified xsi:type="dcterms:W3CDTF">2026-10-05T16:40:20.903Z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